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C7955" w14:textId="77777777" w:rsidR="00E21249" w:rsidRDefault="00E21249" w:rsidP="00E21249">
      <w:pPr>
        <w:jc w:val="center"/>
        <w:rPr>
          <w:sz w:val="24"/>
          <w:szCs w:val="22"/>
          <w:rFonts w:ascii="Times New Roman" w:hAnsi="Times New Roman"/>
        </w:rPr>
      </w:pPr>
      <w:bookmarkStart w:id="0" w:name="_Toc262568021"/>
      <w:bookmarkStart w:id="1" w:name="_Toc295829847"/>
      <w:r>
        <w:rPr>
          <w:sz w:val="24"/>
          <w:rFonts w:ascii="Times New Roman" w:hAnsi="Times New Roman"/>
        </w:rPr>
        <w:t xml:space="preserve">LT</w:t>
      </w:r>
    </w:p>
    <w:p w14:paraId="31477444" w14:textId="77777777" w:rsidR="00E21249" w:rsidRDefault="00E21249" w:rsidP="00E21249">
      <w:pPr>
        <w:rPr>
          <w:rFonts w:asciiTheme="minorHAnsi" w:hAnsiTheme="minorHAnsi"/>
          <w:sz w:val="22"/>
        </w:rPr>
      </w:pPr>
    </w:p>
    <w:p w14:paraId="4F5FBDAA" w14:textId="325443EF" w:rsidR="00C87CEE" w:rsidRPr="00F4528F" w:rsidRDefault="009F0F81" w:rsidP="00D64B66">
      <w:pPr>
        <w:pStyle w:val="Titrearticle"/>
        <w:keepNext w:val="0"/>
        <w:outlineLvl w:val="0"/>
        <w:rPr>
          <w:i w:val="0"/>
        </w:rPr>
      </w:pPr>
      <w:r>
        <w:rPr>
          <w:i w:val="0"/>
        </w:rPr>
        <w:t xml:space="preserve">VII PRIEDAS</w:t>
      </w:r>
    </w:p>
    <w:p w14:paraId="26FC133A" w14:textId="59A74890" w:rsidR="00C87CEE" w:rsidRPr="00F4528F" w:rsidRDefault="00713F52" w:rsidP="00C87CEE">
      <w:pPr>
        <w:jc w:val="center"/>
        <w:rPr>
          <w:b/>
          <w:sz w:val="24"/>
          <w:rFonts w:ascii="Times New Roman" w:hAnsi="Times New Roman"/>
        </w:rPr>
      </w:pPr>
      <w:r>
        <w:rPr>
          <w:b/>
          <w:sz w:val="24"/>
          <w:rFonts w:ascii="Times New Roman" w:hAnsi="Times New Roman"/>
        </w:rPr>
        <w:t xml:space="preserve">INFORMACIJOS APIE NUOSTOLIUS DĖL SKOLINIMO, UŽTIKRINTO NEKILNOJAMUOJU TURTU, TEIKIMO NURODYMAI</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w:t>
      </w:r>
      <w:r>
        <w:rPr>
          <w:sz w:val="24"/>
          <w:u w:val="none"/>
          <w:rFonts w:ascii="Times New Roman" w:hAnsi="Times New Roman"/>
        </w:rPr>
        <w:tab/>
      </w:r>
      <w:r>
        <w:rPr>
          <w:sz w:val="24"/>
          <w:u w:val="none"/>
          <w:rFonts w:ascii="Times New Roman" w:hAnsi="Times New Roman"/>
        </w:rPr>
        <w:t xml:space="preserve">Šiame priede pateikti nurodymai, susiję su formomis, įtrauktomis į šio reglamento VI priedą.</w:t>
      </w:r>
    </w:p>
    <w:p w14:paraId="38924FD3" w14:textId="36DF2FD0" w:rsidR="00013EF3"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2.</w:t>
      </w:r>
      <w:r>
        <w:rPr>
          <w:sz w:val="24"/>
          <w:u w:val="none"/>
          <w:rFonts w:ascii="Times New Roman" w:hAnsi="Times New Roman"/>
        </w:rPr>
        <w:tab/>
      </w:r>
      <w:r>
        <w:rPr>
          <w:sz w:val="24"/>
          <w:u w:val="none"/>
          <w:rFonts w:ascii="Times New Roman" w:hAnsi="Times New Roman"/>
        </w:rPr>
        <w:t xml:space="preserve">Taip pat taikomi visi šio reglamento II priedo I dalyje pateikti bendrieji nurodymai.</w:t>
      </w:r>
    </w:p>
    <w:p w14:paraId="600D280B" w14:textId="77777777" w:rsidR="00325A59"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1.</w:t>
      </w:r>
      <w:r>
        <w:rPr>
          <w:sz w:val="24"/>
          <w:u w:val="none"/>
          <w:rFonts w:ascii="Times New Roman" w:hAnsi="Times New Roman"/>
        </w:rPr>
        <w:tab/>
      </w:r>
      <w:r>
        <w:rPr>
          <w:sz w:val="24"/>
          <w:rFonts w:ascii="Times New Roman" w:hAnsi="Times New Roman"/>
        </w:rPr>
        <w:t xml:space="preserve">Atskaitomybės aprėptis</w:t>
      </w:r>
    </w:p>
    <w:p w14:paraId="359D7D30" w14:textId="4FEFDEC0" w:rsidR="000907F9" w:rsidRPr="008A4E00" w:rsidRDefault="001E7A23" w:rsidP="002B6F88">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3.</w:t>
      </w:r>
      <w:r>
        <w:rPr>
          <w:sz w:val="24"/>
          <w:u w:val="none"/>
          <w:rFonts w:ascii="Times New Roman" w:hAnsi="Times New Roman"/>
        </w:rPr>
        <w:tab/>
      </w:r>
      <w:r>
        <w:rPr>
          <w:sz w:val="24"/>
          <w:u w:val="none"/>
          <w:rFonts w:ascii="Times New Roman" w:hAnsi="Times New Roman"/>
        </w:rPr>
        <w:t xml:space="preserve">Įstaigos, kurios nekilnojamąjį turtą naudoja pagal Reglamento (ES) Nr. 575/2013 trečios dalies II antraštinę dalį, teikia to reglamento 430a straipsnio 1 dalyje nurodytus duomenis.</w:t>
      </w:r>
      <w:r>
        <w:rPr>
          <w:sz w:val="24"/>
          <w:u w:val="none"/>
          <w:rFonts w:ascii="Times New Roman" w:hAnsi="Times New Roman"/>
        </w:rPr>
        <w:t xml:space="preserve"> </w:t>
      </w:r>
    </w:p>
    <w:p w14:paraId="11A2B1D6" w14:textId="4041595C" w:rsidR="00FA5CA1"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4.</w:t>
      </w:r>
      <w:r>
        <w:rPr>
          <w:sz w:val="24"/>
          <w:u w:val="none"/>
          <w:rFonts w:ascii="Times New Roman" w:hAnsi="Times New Roman"/>
        </w:rPr>
        <w:tab/>
      </w:r>
      <w:r>
        <w:rPr>
          <w:sz w:val="24"/>
          <w:u w:val="none"/>
          <w:rFonts w:ascii="Times New Roman" w:hAnsi="Times New Roman"/>
        </w:rPr>
        <w:t xml:space="preserve">Forma apima visas nacionalines rinkas, dėl kurių įstaigai / įstaigų grupei kyla rizika (žr. Reglamento (ES) Nr. 575/2013 430a straipsnio 1 dalį).</w:t>
      </w:r>
      <w:r>
        <w:rPr>
          <w:sz w:val="24"/>
          <w:u w:val="none"/>
          <w:rFonts w:ascii="Times New Roman" w:hAnsi="Times New Roman"/>
        </w:rPr>
        <w:t xml:space="preserve"> </w:t>
      </w:r>
      <w:r>
        <w:rPr>
          <w:sz w:val="24"/>
          <w:u w:val="none"/>
          <w:rFonts w:ascii="Times New Roman" w:hAnsi="Times New Roman"/>
        </w:rPr>
        <w:t xml:space="preserve">Pagal KRR 430a straipsnio 2 dalies trečią sakinį duomenys pateikiami atskirai apie kiekvieną nekilnojamojo turto rinką Sąjungoje.</w:t>
      </w:r>
      <w:r>
        <w:rPr>
          <w:sz w:val="24"/>
          <w:u w:val="none"/>
          <w:rFonts w:ascii="Times New Roman" w:hAnsi="Times New Roman"/>
        </w:rPr>
        <w:t xml:space="preserve"> </w:t>
      </w:r>
    </w:p>
    <w:p w14:paraId="298D1BCF" w14:textId="77777777" w:rsidR="00363FCE"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2.</w:t>
      </w:r>
      <w:r>
        <w:rPr>
          <w:sz w:val="24"/>
          <w:u w:val="none"/>
          <w:rFonts w:ascii="Times New Roman" w:hAnsi="Times New Roman"/>
        </w:rPr>
        <w:tab/>
      </w:r>
      <w:r>
        <w:rPr>
          <w:sz w:val="24"/>
          <w:rFonts w:ascii="Times New Roman" w:hAnsi="Times New Roman"/>
        </w:rPr>
        <w:t xml:space="preserve">Apibrėžtys</w:t>
      </w:r>
    </w:p>
    <w:p w14:paraId="2570AF77" w14:textId="02CB4066" w:rsidR="00373A71"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5.</w:t>
      </w:r>
      <w:r>
        <w:rPr>
          <w:sz w:val="24"/>
          <w:u w:val="none"/>
          <w:rFonts w:ascii="Times New Roman" w:hAnsi="Times New Roman"/>
        </w:rPr>
        <w:tab/>
      </w:r>
      <w:r>
        <w:rPr>
          <w:sz w:val="24"/>
          <w:u w:val="none"/>
          <w:rFonts w:ascii="Times New Roman" w:hAnsi="Times New Roman"/>
        </w:rPr>
        <w:t xml:space="preserve">Nuostolis – nuostolis, kaip apibrėžta Reglamento (ES) Nr. 575/2013 5 straipsnio 2 dalyje, įskaitant su nuomojamu turtu susijusius nuostolius.</w:t>
      </w:r>
      <w:r>
        <w:rPr>
          <w:sz w:val="24"/>
          <w:u w:val="none"/>
          <w:rFonts w:ascii="Times New Roman" w:hAnsi="Times New Roman"/>
        </w:rPr>
        <w:t xml:space="preserve"> </w:t>
      </w:r>
      <w:r>
        <w:rPr>
          <w:sz w:val="24"/>
          <w:u w:val="none"/>
          <w:rStyle w:val="InstructionsTabelleText"/>
          <w:rFonts w:ascii="Times New Roman" w:hAnsi="Times New Roman"/>
        </w:rPr>
        <w:t xml:space="preserve">Apskaičiuojant nuostolius, atsirandančius dėl nekilnojamojo turto, iš kitų šaltinių (pvz., banko garantijų, gyvybės draudimo ir pan.) atgaunami srautai nepripažįstami mažinančiais nuostolius.</w:t>
      </w:r>
      <w:r>
        <w:rPr>
          <w:sz w:val="24"/>
          <w:u w:val="none"/>
          <w:rStyle w:val="InstructionsTabelleText"/>
          <w:rFonts w:ascii="Times New Roman" w:hAnsi="Times New Roman"/>
        </w:rPr>
        <w:t xml:space="preserve"> </w:t>
      </w:r>
      <w:r>
        <w:rPr>
          <w:sz w:val="24"/>
          <w:u w:val="none"/>
          <w:rFonts w:ascii="Times New Roman" w:hAnsi="Times New Roman"/>
        </w:rPr>
        <w:t xml:space="preserve">Vienos pozicijos nuostoliai tarpusavyje neužskaitomi su sėkmingai atgautos pozicijos pelnu.</w:t>
      </w:r>
    </w:p>
    <w:p w14:paraId="6F0824D8" w14:textId="0A599737" w:rsidR="00920D63"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6.</w:t>
      </w:r>
      <w:r>
        <w:rPr>
          <w:sz w:val="24"/>
          <w:u w:val="none"/>
          <w:rFonts w:ascii="Times New Roman" w:hAnsi="Times New Roman"/>
        </w:rPr>
        <w:tab/>
      </w:r>
      <w:r>
        <w:rPr>
          <w:sz w:val="24"/>
          <w:u w:val="none"/>
          <w:rFonts w:ascii="Times New Roman" w:hAnsi="Times New Roman"/>
        </w:rPr>
        <w:t xml:space="preserve">Ekonominis nuostolis skaičiuojamas pradedant nuo ataskaitinę datą turimos neapmokėtos pozicijos vertės, įtraukiant bent:</w:t>
      </w:r>
      <w:r>
        <w:rPr>
          <w:sz w:val="24"/>
          <w:u w:val="none"/>
          <w:rFonts w:ascii="Times New Roman" w:hAnsi="Times New Roman"/>
        </w:rPr>
        <w:t xml:space="preserve"> </w:t>
      </w:r>
      <w:r>
        <w:rPr>
          <w:sz w:val="24"/>
          <w:u w:val="none"/>
          <w:rFonts w:ascii="Times New Roman" w:hAnsi="Times New Roman"/>
        </w:rPr>
        <w:t xml:space="preserve">i) įplaukas iš užtikrinimo priemonės realizavimo;</w:t>
      </w:r>
      <w:r>
        <w:rPr>
          <w:sz w:val="24"/>
          <w:u w:val="none"/>
          <w:rFonts w:ascii="Times New Roman" w:hAnsi="Times New Roman"/>
        </w:rPr>
        <w:t xml:space="preserve"> </w:t>
      </w:r>
      <w:r>
        <w:rPr>
          <w:sz w:val="24"/>
          <w:u w:val="none"/>
          <w:rFonts w:ascii="Times New Roman" w:hAnsi="Times New Roman"/>
        </w:rPr>
        <w:t xml:space="preserve">ii) tiesiogines išlaidas (įskaitant palūkanų normų mokėjimus ir su užtikrinimo priemonės realizavimu susijusias susigrąžinimo išlaidas)</w:t>
      </w:r>
      <w:r>
        <w:rPr>
          <w:sz w:val="24"/>
          <w:u w:val="none"/>
          <w:rFonts w:ascii="Times New Roman" w:hAnsi="Times New Roman"/>
        </w:rPr>
        <w:t xml:space="preserve"> </w:t>
      </w:r>
      <w:r>
        <w:rPr>
          <w:sz w:val="24"/>
          <w:u w:val="none"/>
          <w:rFonts w:ascii="Times New Roman" w:hAnsi="Times New Roman"/>
        </w:rPr>
        <w:t xml:space="preserve">ir iii) netiesiogines išlaidas (įskaitant susigrąžinimo skyriaus veiklos išlaidas).</w:t>
      </w:r>
      <w:r>
        <w:rPr>
          <w:sz w:val="24"/>
          <w:u w:val="none"/>
          <w:rFonts w:ascii="Times New Roman" w:hAnsi="Times New Roman"/>
        </w:rPr>
        <w:t xml:space="preserve"> </w:t>
      </w:r>
      <w:r>
        <w:rPr>
          <w:sz w:val="24"/>
          <w:u w:val="none"/>
          <w:rFonts w:ascii="Times New Roman" w:hAnsi="Times New Roman"/>
        </w:rPr>
        <w:t xml:space="preserve">Visos sudedamosios dalys diskontuojamos iki ataskaitinės datos.</w:t>
      </w:r>
    </w:p>
    <w:p w14:paraId="267A70A6" w14:textId="1C8033F6" w:rsidR="004345C2"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7.</w:t>
      </w:r>
      <w:r>
        <w:rPr>
          <w:sz w:val="24"/>
          <w:u w:val="none"/>
          <w:rFonts w:ascii="Times New Roman" w:hAnsi="Times New Roman"/>
        </w:rPr>
        <w:tab/>
      </w:r>
      <w:r>
        <w:rPr>
          <w:sz w:val="24"/>
          <w:u w:val="none"/>
          <w:rFonts w:ascii="Times New Roman" w:hAnsi="Times New Roman"/>
        </w:rPr>
        <w:t xml:space="preserve">Pozicijos vertė nustatoma vadovaujantis Reglamento (ES) Nr. 575/2013 trečios dalies II antraštinėje dalyje nustatytoms taisyklėmis (standartizuotą metodą taikančioms įstaigoms taikomas 2 skyrius, o vidaus reitingais pagrįstą metodą (IRB metodą) taikančioms įstaigoms – 3 skyrius).</w:t>
      </w:r>
    </w:p>
    <w:p w14:paraId="424065A6" w14:textId="1475E130" w:rsidR="004345C2"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8.</w:t>
      </w:r>
      <w:r>
        <w:rPr>
          <w:sz w:val="24"/>
          <w:u w:val="none"/>
          <w:rFonts w:ascii="Times New Roman" w:hAnsi="Times New Roman"/>
        </w:rPr>
        <w:tab/>
      </w:r>
      <w:r>
        <w:rPr>
          <w:sz w:val="24"/>
          <w:u w:val="none"/>
          <w:rFonts w:ascii="Times New Roman" w:hAnsi="Times New Roman"/>
        </w:rPr>
        <w:t xml:space="preserve">Turto vertė nustatoma pagal Reglamento (ES) Nr. 575/2013 </w:t>
      </w:r>
      <w:r>
        <w:rPr>
          <w:sz w:val="24"/>
          <w:u w:val="none"/>
          <w:rStyle w:val="InstructionsTabelleText"/>
          <w:rFonts w:ascii="Times New Roman" w:hAnsi="Times New Roman"/>
        </w:rPr>
        <w:t xml:space="preserve">4 straipsnio 1 dalies 74a punktą</w:t>
      </w:r>
      <w:r>
        <w:rPr>
          <w:sz w:val="24"/>
          <w:u w:val="none"/>
          <w:rFonts w:ascii="Times New Roman" w:hAnsi="Times New Roman"/>
        </w:rPr>
        <w:t xml:space="preserve">.</w:t>
      </w:r>
    </w:p>
    <w:p w14:paraId="3B8866E0" w14:textId="623D5995" w:rsidR="00840FC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9.</w:t>
      </w:r>
      <w:r>
        <w:rPr>
          <w:sz w:val="24"/>
          <w:u w:val="none"/>
          <w:rFonts w:ascii="Times New Roman" w:hAnsi="Times New Roman"/>
        </w:rPr>
        <w:tab/>
      </w:r>
      <w:r>
        <w:rPr>
          <w:sz w:val="24"/>
          <w:u w:val="none"/>
          <w:rFonts w:ascii="Times New Roman" w:hAnsi="Times New Roman"/>
        </w:rPr>
        <w:t xml:space="preserve">Užsienio valiutos kurso pasikeitimo įtaka.</w:t>
      </w:r>
      <w:r>
        <w:rPr>
          <w:sz w:val="24"/>
          <w:u w:val="none"/>
          <w:rFonts w:ascii="Times New Roman" w:hAnsi="Times New Roman"/>
        </w:rPr>
        <w:t xml:space="preserve"> </w:t>
      </w:r>
      <w:r>
        <w:rPr>
          <w:sz w:val="24"/>
          <w:u w:val="none"/>
          <w:rFonts w:ascii="Times New Roman" w:hAnsi="Times New Roman"/>
        </w:rPr>
        <w:t xml:space="preserve">Sumos konvertuojamos į ataskaitose nurodomą valiutą pagal ataskaitinės datos valiutos kursą.</w:t>
      </w:r>
      <w:r>
        <w:rPr>
          <w:sz w:val="24"/>
          <w:u w:val="none"/>
          <w:rFonts w:ascii="Times New Roman" w:hAnsi="Times New Roman"/>
        </w:rPr>
        <w:t xml:space="preserve"> </w:t>
      </w:r>
      <w:r>
        <w:rPr>
          <w:sz w:val="24"/>
          <w:u w:val="none"/>
          <w:rFonts w:ascii="Times New Roman" w:hAnsi="Times New Roman"/>
        </w:rPr>
        <w:t xml:space="preserve">Be to, jei pozicija arba užtikrinimo priemonė išreikšta kita valiuta, apskaičiuojant ekonominius nuostolius reikėtų atsižvelgti į užsienio valiutos kurso pasikeitimo įtaką.</w:t>
      </w:r>
    </w:p>
    <w:p w14:paraId="7ADF637B" w14:textId="77777777" w:rsidR="00363FCE"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3.</w:t>
      </w:r>
      <w:r>
        <w:rPr>
          <w:sz w:val="24"/>
          <w:u w:val="none"/>
          <w:rFonts w:ascii="Times New Roman" w:hAnsi="Times New Roman"/>
        </w:rPr>
        <w:tab/>
      </w:r>
      <w:r>
        <w:rPr>
          <w:sz w:val="24"/>
          <w:rFonts w:ascii="Times New Roman" w:hAnsi="Times New Roman"/>
        </w:rPr>
        <w:t xml:space="preserve">Geografinis suskirstymas</w:t>
      </w:r>
    </w:p>
    <w:p w14:paraId="66F86A28" w14:textId="68A51B3F"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10.</w:t>
      </w:r>
      <w:r>
        <w:rPr>
          <w:sz w:val="24"/>
          <w:u w:val="none"/>
          <w:rFonts w:ascii="Times New Roman" w:hAnsi="Times New Roman"/>
        </w:rPr>
        <w:tab/>
      </w:r>
      <w:r>
        <w:rPr>
          <w:sz w:val="24"/>
          <w:u w:val="none"/>
          <w:rFonts w:ascii="Times New Roman" w:hAnsi="Times New Roman"/>
        </w:rPr>
        <w:t xml:space="preserve">Įstaigos užpildo šias formas:</w:t>
      </w:r>
    </w:p>
    <w:p w14:paraId="630D5FC3" w14:textId="77777777"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a)</w:t>
      </w:r>
      <w:r>
        <w:rPr>
          <w:sz w:val="24"/>
          <w:u w:val="none"/>
          <w:rFonts w:ascii="Times New Roman" w:hAnsi="Times New Roman"/>
        </w:rPr>
        <w:tab/>
      </w:r>
      <w:r>
        <w:rPr>
          <w:sz w:val="24"/>
          <w:u w:val="none"/>
          <w:rFonts w:ascii="Times New Roman" w:hAnsi="Times New Roman"/>
        </w:rPr>
        <w:t xml:space="preserve">vieną bendrų duomenų formą,</w:t>
      </w:r>
    </w:p>
    <w:p w14:paraId="131FB6E0" w14:textId="21132544"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b)</w:t>
      </w:r>
      <w:r>
        <w:rPr>
          <w:sz w:val="24"/>
          <w:u w:val="none"/>
          <w:rFonts w:ascii="Times New Roman" w:hAnsi="Times New Roman"/>
        </w:rPr>
        <w:tab/>
      </w:r>
      <w:r>
        <w:rPr>
          <w:sz w:val="24"/>
          <w:u w:val="none"/>
          <w:rFonts w:ascii="Times New Roman" w:hAnsi="Times New Roman"/>
        </w:rPr>
        <w:t xml:space="preserve">vieną kiekvienos Sąjungos nacionalinės rinkos, dėl kurios įstaigai kyla rizika, formą ir</w:t>
      </w:r>
    </w:p>
    <w:p w14:paraId="42B76C97" w14:textId="76897253"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c)</w:t>
      </w:r>
      <w:r>
        <w:rPr>
          <w:sz w:val="24"/>
          <w:u w:val="none"/>
          <w:rFonts w:ascii="Times New Roman" w:hAnsi="Times New Roman"/>
        </w:rPr>
        <w:tab/>
      </w:r>
      <w:r>
        <w:rPr>
          <w:sz w:val="24"/>
          <w:u w:val="none"/>
          <w:rFonts w:ascii="Times New Roman" w:hAnsi="Times New Roman"/>
        </w:rPr>
        <w:t xml:space="preserve">vieną formą, kurioje nurodomi visų ne Sąjungos nacionalinių rinkų, dėl kurių įstaigai kyla rizika, agreguoti duomenys.</w:t>
      </w:r>
      <w:r>
        <w:rPr>
          <w:sz w:val="24"/>
          <w:u w:val="none"/>
          <w:rFonts w:ascii="Times New Roman" w:hAnsi="Times New Roman"/>
        </w:rPr>
        <w:t xml:space="preserve"> </w:t>
      </w:r>
    </w:p>
    <w:p w14:paraId="11CDC60F" w14:textId="77777777" w:rsidR="00363FCE"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4.</w:t>
      </w:r>
      <w:r>
        <w:rPr>
          <w:sz w:val="24"/>
          <w:u w:val="none"/>
          <w:rFonts w:ascii="Times New Roman" w:hAnsi="Times New Roman"/>
        </w:rPr>
        <w:tab/>
      </w:r>
      <w:r>
        <w:rPr>
          <w:sz w:val="24"/>
          <w:rFonts w:ascii="Times New Roman" w:hAnsi="Times New Roman"/>
        </w:rPr>
        <w:t xml:space="preserve">Informacijos apie pozicijas ir nuostolius teikimas</w:t>
      </w:r>
    </w:p>
    <w:p w14:paraId="7DA3503A" w14:textId="02BE28D2" w:rsidR="007E3047" w:rsidRDefault="001E7A23" w:rsidP="00E27BC7">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11.</w:t>
      </w:r>
      <w:r>
        <w:rPr>
          <w:sz w:val="24"/>
          <w:u w:val="none"/>
          <w:rFonts w:ascii="Times New Roman" w:hAnsi="Times New Roman"/>
        </w:rPr>
        <w:tab/>
      </w:r>
      <w:r>
        <w:rPr>
          <w:sz w:val="24"/>
          <w:u w:val="none"/>
          <w:rFonts w:ascii="Times New Roman" w:hAnsi="Times New Roman"/>
        </w:rPr>
        <w:t xml:space="preserve">Pozicijos ir nuostoliai pateikiami taip:</w:t>
      </w:r>
    </w:p>
    <w:p w14:paraId="0806F39A" w14:textId="47B78A1A" w:rsidR="00E27BC7" w:rsidRDefault="00415BAF" w:rsidP="00E11A0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0010 skiltis:</w:t>
      </w:r>
      <w:r>
        <w:rPr>
          <w:sz w:val="24"/>
          <w:u w:val="none"/>
          <w:rFonts w:ascii="Times New Roman" w:hAnsi="Times New Roman"/>
        </w:rPr>
        <w:t xml:space="preserve"> </w:t>
      </w:r>
      <w:r>
        <w:rPr>
          <w:sz w:val="24"/>
          <w:u w:val="none"/>
          <w:rFonts w:ascii="Times New Roman" w:hAnsi="Times New Roman"/>
        </w:rPr>
        <w:t xml:space="preserve">Pagal 430 straipsnio 1 dalies a ir d punktus nurodomi nuostoliai, atsirandantys dėl pozicijų, kurių užtikrinimo priemone įstaiga yra pripažinusi gyvenamosios ar komercinės paskirties turtą, kiekvienu atveju iki mažesnės iš šių verčių – įkeistos sumos ir 55 % turto vertės, jei pagal 124 straipsnio 9 dalį atitinkamais atvejais nenuspręsta kitaip.</w:t>
      </w:r>
      <w:r>
        <w:rPr>
          <w:sz w:val="24"/>
          <w:u w:val="none"/>
          <w:rFonts w:ascii="Times New Roman" w:hAnsi="Times New Roman"/>
        </w:rPr>
        <w:t xml:space="preserve"> </w:t>
      </w:r>
      <w:r>
        <w:rPr>
          <w:sz w:val="24"/>
          <w:u w:val="none"/>
          <w:rFonts w:ascii="Times New Roman" w:hAnsi="Times New Roman"/>
        </w:rPr>
        <w:t xml:space="preserve">Nuostoliai atsiranda dėl pozicijų, nustatytų vadovaujantis Reglamento (ES) Nr. 575/2013 trečios dalies II antraštinėje dalyje nustatytoms taisyklėmis.</w:t>
      </w:r>
    </w:p>
    <w:p w14:paraId="0DBC1AB6" w14:textId="20D2E23B" w:rsidR="00E27BC7" w:rsidRDefault="00CE73B0" w:rsidP="00E11A0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0030 skiltis:</w:t>
      </w:r>
      <w:r>
        <w:rPr>
          <w:sz w:val="24"/>
          <w:u w:val="none"/>
          <w:rFonts w:ascii="Times New Roman" w:hAnsi="Times New Roman"/>
        </w:rPr>
        <w:t xml:space="preserve"> </w:t>
      </w:r>
      <w:r>
        <w:rPr>
          <w:sz w:val="24"/>
          <w:u w:val="none"/>
          <w:rFonts w:ascii="Times New Roman" w:hAnsi="Times New Roman"/>
        </w:rPr>
        <w:t xml:space="preserve">Pagal 430 straipsnio 1 dalies b ir e punktus nurodomi nuostoliai, atsirandantys dėl pozicijų, kurių užtikrinimo priemone įstaiga yra pripažinusi gyvenamosios ar komercinės paskirties turtą, kiekvienu atveju iki mažesnės iš šių verčių – įkeistos sumos ir 100 % turto vertės.</w:t>
      </w:r>
      <w:r>
        <w:rPr>
          <w:sz w:val="24"/>
          <w:u w:val="none"/>
          <w:rFonts w:ascii="Times New Roman" w:hAnsi="Times New Roman"/>
        </w:rPr>
        <w:t xml:space="preserve"> </w:t>
      </w:r>
      <w:r>
        <w:rPr>
          <w:sz w:val="24"/>
          <w:u w:val="none"/>
          <w:rFonts w:ascii="Times New Roman" w:hAnsi="Times New Roman"/>
        </w:rPr>
        <w:t xml:space="preserve">Nuostoliai atsiranda dėl pozicijų, nustatytų vadovaujantis Reglamento (ES) Nr. 575/2013 trečios dalies II antraštinėje dalyje nustatytoms taisyklėmis.</w:t>
      </w:r>
    </w:p>
    <w:p w14:paraId="2C15211F" w14:textId="47254851" w:rsidR="009E21CF" w:rsidRPr="00820370" w:rsidRDefault="00CE73B0" w:rsidP="00E11A0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0050 skiltis:</w:t>
      </w:r>
      <w:r>
        <w:rPr>
          <w:sz w:val="24"/>
          <w:u w:val="none"/>
          <w:rFonts w:ascii="Times New Roman" w:hAnsi="Times New Roman"/>
        </w:rPr>
        <w:t xml:space="preserve"> </w:t>
      </w:r>
      <w:r>
        <w:rPr>
          <w:sz w:val="24"/>
          <w:u w:val="none"/>
          <w:rFonts w:ascii="Times New Roman" w:hAnsi="Times New Roman"/>
        </w:rPr>
        <w:t xml:space="preserve">Pagal 430 straipsnio 1 dalies c ir f punktus nurodoma neapmokėtų pozicijų vertė atitinka pozicijas, kurių užtikrinimo priemone bankas yra pripažinęs gyvenamosios ar komercinės paskirties turtą, kiekvienu atveju iki mažesnės iš šių verčių – įkeistos sumos ir 100 % turto vertės.</w:t>
      </w:r>
      <w:r>
        <w:rPr>
          <w:sz w:val="24"/>
          <w:u w:val="none"/>
          <w:rFonts w:ascii="Times New Roman" w:hAnsi="Times New Roman"/>
        </w:rPr>
        <w:t xml:space="preserve"> </w:t>
      </w:r>
      <w:r>
        <w:rPr>
          <w:sz w:val="24"/>
          <w:u w:val="none"/>
          <w:rFonts w:ascii="Times New Roman" w:hAnsi="Times New Roman"/>
        </w:rPr>
        <w:t xml:space="preserve">Pozicijų vertės nustatomos vadovaujantis Reglamento (ES) Nr. 575/2013 trečios dalies II antraštinėje dalyje nustatytoms taisyklėmis.</w:t>
      </w:r>
    </w:p>
    <w:p w14:paraId="75C4E60E" w14:textId="2244A615" w:rsidR="003F65EC" w:rsidRDefault="00DD2656" w:rsidP="00DD6D4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Kai dėl užtikrinimo priemonės pripažinimo sumažėtų pagal riziką įvertintų pozicijų suma, net jei dėl to sumažėjimo būtų priimtas kompetentingos arba paskirtosios institucijos priešingas sprendimas, kai taikoma 124 straipsnio 9 dalis, visos pozicijos, užtikrintos gyvenamosios ir komercinės paskirties nekilnojamuoju turtu, kurioms taikomi Reglamento (ES) Nr. 575/2013 trečios dalies II antraštinės dalies reikalavimai, nurodomos C 15.00 formoje.</w:t>
      </w:r>
      <w:r>
        <w:rPr>
          <w:sz w:val="24"/>
          <w:u w:val="none"/>
          <w:rFonts w:ascii="Times New Roman" w:hAnsi="Times New Roman"/>
        </w:rPr>
        <w:t xml:space="preserve"> </w:t>
      </w:r>
      <w:r>
        <w:rPr>
          <w:sz w:val="24"/>
          <w:u w:val="none"/>
          <w:rFonts w:ascii="Times New Roman" w:hAnsi="Times New Roman"/>
        </w:rPr>
        <w:t xml:space="preserve">Tai taip pat reiškia, kad, jei nekilnojamojo turto rizikos mažinimo poveikis taikomas tik vidaus tikslais (t. y. pagal 2 ramstį) arba didelėms pozicijoms (žr. Reglamento (ES) Nr. 575/2013 ketvirtą dalį), atitinkamos pozicijos ir nuostoliai neturi būti nurodomi.</w:t>
      </w:r>
      <w:r>
        <w:rPr>
          <w:sz w:val="24"/>
          <w:u w:val="none"/>
          <w:rFonts w:ascii="Times New Roman" w:hAnsi="Times New Roman"/>
        </w:rPr>
        <w:t xml:space="preserve"> </w:t>
      </w:r>
      <w:r>
        <w:rPr>
          <w:sz w:val="24"/>
          <w:u w:val="none"/>
          <w:rFonts w:ascii="Times New Roman" w:hAnsi="Times New Roman"/>
        </w:rPr>
        <w:t xml:space="preserve">Visų pirma nereikia nurodyti pozicijų pagal Reglamento (ES) Nr. 575/2013 124 straipsnio 1 dalį.</w:t>
      </w:r>
      <w:r>
        <w:rPr>
          <w:sz w:val="24"/>
          <w:u w:val="none"/>
          <w:rFonts w:ascii="Times New Roman" w:hAnsi="Times New Roman"/>
        </w:rPr>
        <w:t xml:space="preserve"> </w:t>
      </w:r>
      <w:r>
        <w:rPr>
          <w:sz w:val="24"/>
          <w:u w:val="none"/>
          <w:rFonts w:ascii="Times New Roman" w:hAnsi="Times New Roman"/>
        </w:rPr>
        <w:t xml:space="preserve">Pozicijos nurodomos net tais atvejais, kai tai pozicijos esant įsipareigojimų neįvykdymui.</w:t>
      </w:r>
    </w:p>
    <w:p w14:paraId="355D0107" w14:textId="405B1CCF" w:rsidR="008C6A88" w:rsidRPr="008A4E00" w:rsidRDefault="004C41D1" w:rsidP="00DD6D4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Pagal Reglamento (ES) Nr. 575/2013 430a straipsnio 1 dalies a ir d punktus, kai taikoma 124 straipsnio 9 dalis, duomenys pateikiami 0010 skiltyje pagal pakoreguotas orientacines procentines dalis, jei taikoma.</w:t>
      </w:r>
      <w:r>
        <w:rPr>
          <w:sz w:val="24"/>
          <w:u w:val="none"/>
          <w:rFonts w:ascii="Times New Roman" w:hAnsi="Times New Roman"/>
        </w:rPr>
        <w:t xml:space="preserve"> </w:t>
      </w:r>
      <w:r>
        <w:rPr>
          <w:sz w:val="24"/>
          <w:u w:val="none"/>
          <w:rFonts w:ascii="Times New Roman" w:hAnsi="Times New Roman"/>
        </w:rPr>
        <w:t xml:space="preserve">Duomenys pateikiami 0030–0050 skiltyse pagal 430a straipsnio 1 dalies b, c, e ir f punktus.</w:t>
      </w:r>
      <w:r>
        <w:rPr>
          <w:sz w:val="24"/>
          <w:u w:val="none"/>
          <w:rFonts w:ascii="Times New Roman" w:hAnsi="Times New Roman"/>
        </w:rPr>
        <w:t xml:space="preserve"> </w:t>
      </w:r>
    </w:p>
    <w:p w14:paraId="476B3438" w14:textId="4EA61BBD" w:rsidR="000471B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12.</w:t>
      </w:r>
      <w:r>
        <w:rPr>
          <w:sz w:val="24"/>
          <w:u w:val="none"/>
          <w:rFonts w:ascii="Times New Roman" w:hAnsi="Times New Roman"/>
        </w:rPr>
        <w:tab/>
      </w:r>
      <w:r>
        <w:rPr>
          <w:sz w:val="24"/>
          <w:u w:val="none"/>
          <w:rFonts w:ascii="Times New Roman" w:hAnsi="Times New Roman"/>
        </w:rPr>
        <w:t xml:space="preserve">Nuostoliai.</w:t>
      </w:r>
      <w:r>
        <w:rPr>
          <w:sz w:val="24"/>
          <w:u w:val="none"/>
          <w:rFonts w:ascii="Times New Roman" w:hAnsi="Times New Roman"/>
        </w:rPr>
        <w:t xml:space="preserve"> </w:t>
      </w:r>
      <w:r>
        <w:rPr>
          <w:sz w:val="24"/>
          <w:u w:val="none"/>
          <w:rFonts w:ascii="Times New Roman" w:hAnsi="Times New Roman"/>
        </w:rPr>
        <w:t xml:space="preserve">Ataskaitinio laikotarpio pabaigoje poziciją turinti įstaiga pateikia informaciją apie nuostolius.</w:t>
      </w:r>
      <w:r>
        <w:rPr>
          <w:sz w:val="24"/>
          <w:u w:val="none"/>
          <w:rFonts w:ascii="Times New Roman" w:hAnsi="Times New Roman"/>
        </w:rPr>
        <w:t xml:space="preserve"> </w:t>
      </w:r>
      <w:r>
        <w:rPr>
          <w:sz w:val="24"/>
          <w:u w:val="none"/>
          <w:rFonts w:ascii="Times New Roman" w:hAnsi="Times New Roman"/>
        </w:rPr>
        <w:t xml:space="preserve">Apie nuostolius pranešama iš karto, kai pagal apskaitos taisykles reikia užregistruoti atidėjinius.</w:t>
      </w:r>
      <w:r>
        <w:rPr>
          <w:sz w:val="24"/>
          <w:u w:val="none"/>
          <w:rFonts w:ascii="Times New Roman" w:hAnsi="Times New Roman"/>
        </w:rPr>
        <w:t xml:space="preserve"> </w:t>
      </w:r>
      <w:r>
        <w:rPr>
          <w:sz w:val="24"/>
          <w:u w:val="none"/>
          <w:rFonts w:ascii="Times New Roman" w:hAnsi="Times New Roman"/>
        </w:rPr>
        <w:t xml:space="preserve">Taip pat nurodomi apskaičiuoti nuostoliai.</w:t>
      </w:r>
      <w:r>
        <w:rPr>
          <w:sz w:val="24"/>
          <w:u w:val="none"/>
          <w:rFonts w:ascii="Times New Roman" w:hAnsi="Times New Roman"/>
        </w:rPr>
        <w:t xml:space="preserve"> </w:t>
      </w:r>
      <w:r>
        <w:rPr>
          <w:sz w:val="24"/>
          <w:u w:val="none"/>
          <w:rFonts w:ascii="Times New Roman" w:hAnsi="Times New Roman"/>
        </w:rPr>
        <w:t xml:space="preserve">Apskaičiuojami ir teikiant informaciją agreguojami kiekvienos paskolos nuostoliai, atsirandantys dėl nekilnojamuoju turtu užtikrintų pozicijų.</w:t>
      </w:r>
    </w:p>
    <w:p w14:paraId="76BF16A4" w14:textId="30BD44C0" w:rsidR="000471B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13.</w:t>
      </w:r>
      <w:r>
        <w:rPr>
          <w:sz w:val="24"/>
          <w:u w:val="none"/>
          <w:rFonts w:ascii="Times New Roman" w:hAnsi="Times New Roman"/>
        </w:rPr>
        <w:tab/>
      </w:r>
      <w:r>
        <w:rPr>
          <w:sz w:val="24"/>
          <w:u w:val="none"/>
          <w:rFonts w:ascii="Times New Roman" w:hAnsi="Times New Roman"/>
        </w:rPr>
        <w:t xml:space="preserve">Ataskaitinė data.</w:t>
      </w:r>
      <w:r>
        <w:rPr>
          <w:sz w:val="24"/>
          <w:u w:val="none"/>
          <w:rFonts w:ascii="Times New Roman" w:hAnsi="Times New Roman"/>
        </w:rPr>
        <w:t xml:space="preserve"> </w:t>
      </w:r>
      <w:r>
        <w:rPr>
          <w:sz w:val="24"/>
          <w:u w:val="none"/>
          <w:rFonts w:ascii="Times New Roman" w:hAnsi="Times New Roman"/>
        </w:rPr>
        <w:t xml:space="preserve">Naudojama ataskaitinės datos pozicijos vertė.</w:t>
      </w:r>
      <w:r>
        <w:rPr>
          <w:sz w:val="24"/>
          <w:u w:val="none"/>
          <w:rFonts w:ascii="Times New Roman" w:hAnsi="Times New Roman"/>
        </w:rPr>
        <w:t xml:space="preserve"> </w:t>
      </w:r>
      <w:r>
        <w:rPr>
          <w:sz w:val="24"/>
          <w:u w:val="none"/>
          <w:rFonts w:ascii="Times New Roman" w:hAnsi="Times New Roman"/>
        </w:rPr>
        <w:t xml:space="preserve">Per ataskaitinį laikotarpį neįvykdytų pozicijų atveju naudojama pozicijos vertė įsipareigojimų neįvykdymo metu.</w:t>
      </w:r>
      <w:r>
        <w:rPr>
          <w:sz w:val="24"/>
          <w:u w:val="none"/>
          <w:rFonts w:ascii="Times New Roman" w:hAnsi="Times New Roman"/>
        </w:rPr>
        <w:t xml:space="preserve"> </w:t>
      </w:r>
      <w:r>
        <w:rPr>
          <w:sz w:val="24"/>
          <w:u w:val="none"/>
          <w:rFonts w:ascii="Times New Roman" w:hAnsi="Times New Roman"/>
        </w:rPr>
        <w:t xml:space="preserve">Per ankstesnius laikotarpius neįvykdytų pozicijų atveju naudojama ataskaitinės datos pozicijos vertė.</w:t>
      </w:r>
    </w:p>
    <w:p w14:paraId="1BD48AAA" w14:textId="4601E799" w:rsidR="008D7ACC" w:rsidRPr="008A4E00" w:rsidRDefault="001E7A23" w:rsidP="001E7A23">
      <w:pPr>
        <w:pStyle w:val="InstructionsText2"/>
        <w:numPr>
          <w:ilvl w:val="0"/>
          <w:numId w:val="0"/>
        </w:numPr>
        <w:tabs>
          <w:tab w:val="left" w:pos="720"/>
        </w:tabs>
        <w:ind w:left="720" w:hanging="360"/>
        <w:rPr>
          <w:bCs/>
          <w:sz w:val="24"/>
          <w:szCs w:val="24"/>
          <w:u w:val="none"/>
          <w:rFonts w:ascii="Times New Roman" w:hAnsi="Times New Roman"/>
        </w:rPr>
      </w:pPr>
      <w:r>
        <w:rPr>
          <w:sz w:val="24"/>
          <w:u w:val="none"/>
          <w:rFonts w:ascii="Times New Roman" w:hAnsi="Times New Roman"/>
        </w:rPr>
        <w:t xml:space="preserve">a)</w:t>
      </w:r>
      <w:r>
        <w:rPr>
          <w:sz w:val="24"/>
          <w:u w:val="none"/>
          <w:rFonts w:ascii="Times New Roman" w:hAnsi="Times New Roman"/>
        </w:rPr>
        <w:tab/>
      </w:r>
      <w:r>
        <w:rPr>
          <w:sz w:val="24"/>
          <w:u w:val="none"/>
          <w:rFonts w:ascii="Times New Roman" w:hAnsi="Times New Roman"/>
        </w:rPr>
        <w:t xml:space="preserve">Nurodomi ataskaitiniu laikotarpiu atsiradę visų nekilnojamuoju turtu užtikrintų paskolų įsipareigojimų neįvykdymo nuostoliai, neatsižvelgiant į tai, ar susigrąžinimas užbaigtas, ar ne.</w:t>
      </w:r>
      <w:r>
        <w:rPr>
          <w:sz w:val="24"/>
          <w:u w:val="none"/>
          <w:rFonts w:ascii="Times New Roman" w:hAnsi="Times New Roman"/>
        </w:rPr>
        <w:t xml:space="preserve"> </w:t>
      </w:r>
      <w:r>
        <w:rPr>
          <w:sz w:val="24"/>
          <w:u w:val="none"/>
          <w:rFonts w:ascii="Times New Roman" w:hAnsi="Times New Roman"/>
        </w:rPr>
        <w:t xml:space="preserve">Gruodžio 31 d. teikiami nuostolių duomenys yra susiję su visais kalendoriniais metais.</w:t>
      </w:r>
      <w:r>
        <w:rPr>
          <w:sz w:val="24"/>
          <w:u w:val="none"/>
          <w:rFonts w:ascii="Times New Roman" w:hAnsi="Times New Roman"/>
        </w:rPr>
        <w:t xml:space="preserve"> </w:t>
      </w:r>
    </w:p>
    <w:p w14:paraId="43D8639D" w14:textId="4DBF6D57" w:rsidR="008D7ACC" w:rsidRPr="008A4E00" w:rsidRDefault="001E7A23" w:rsidP="001E7A23">
      <w:pPr>
        <w:pStyle w:val="InstructionsText2"/>
        <w:numPr>
          <w:ilvl w:val="0"/>
          <w:numId w:val="0"/>
        </w:numPr>
        <w:tabs>
          <w:tab w:val="left" w:pos="720"/>
        </w:tabs>
        <w:ind w:left="720" w:hanging="360"/>
        <w:rPr>
          <w:bCs/>
          <w:sz w:val="24"/>
          <w:szCs w:val="24"/>
          <w:u w:val="none"/>
          <w:rFonts w:ascii="Times New Roman" w:hAnsi="Times New Roman"/>
        </w:rPr>
      </w:pPr>
      <w:r>
        <w:rPr>
          <w:sz w:val="24"/>
          <w:u w:val="none"/>
          <w:rFonts w:ascii="Times New Roman" w:hAnsi="Times New Roman"/>
        </w:rPr>
        <w:t xml:space="preserve">b)</w:t>
      </w:r>
      <w:r>
        <w:rPr>
          <w:sz w:val="24"/>
          <w:u w:val="none"/>
          <w:rFonts w:ascii="Times New Roman" w:hAnsi="Times New Roman"/>
        </w:rPr>
        <w:tab/>
      </w:r>
      <w:r>
        <w:rPr>
          <w:sz w:val="24"/>
          <w:u w:val="none"/>
          <w:rFonts w:ascii="Times New Roman" w:hAnsi="Times New Roman"/>
        </w:rPr>
        <w:t xml:space="preserve">Galimi trys visų per ataskaitinį laikotarpį nustatytų įsipareigojimų neįvykdymo atvejų scenarijai:</w:t>
      </w:r>
      <w:r>
        <w:rPr>
          <w:sz w:val="24"/>
          <w:u w:val="none"/>
          <w:rFonts w:ascii="Times New Roman" w:hAnsi="Times New Roman"/>
        </w:rPr>
        <w:t xml:space="preserve"> </w:t>
      </w:r>
      <w:r>
        <w:rPr>
          <w:sz w:val="24"/>
          <w:u w:val="none"/>
          <w:rFonts w:ascii="Times New Roman" w:hAnsi="Times New Roman"/>
        </w:rPr>
        <w:t xml:space="preserve">i) neįvykdyti paskolos įsipareigojimai gali būti restruktūrizuoti taip, kad nebebūtų laikomi neįvykdytais (nuostolių nenustatoma);</w:t>
      </w:r>
      <w:r>
        <w:rPr>
          <w:sz w:val="24"/>
          <w:u w:val="none"/>
          <w:rFonts w:ascii="Times New Roman" w:hAnsi="Times New Roman"/>
        </w:rPr>
        <w:t xml:space="preserve"> </w:t>
      </w:r>
      <w:r>
        <w:rPr>
          <w:sz w:val="24"/>
          <w:u w:val="none"/>
          <w:rFonts w:ascii="Times New Roman" w:hAnsi="Times New Roman"/>
        </w:rPr>
        <w:t xml:space="preserve">ii) baigiamas visų užtikrinimo priemonių realizavimas (susigrąžinimas baigtas, žinomi faktiniai nuostoliai)</w:t>
      </w:r>
      <w:r>
        <w:rPr>
          <w:sz w:val="24"/>
          <w:u w:val="none"/>
          <w:rFonts w:ascii="Times New Roman" w:hAnsi="Times New Roman"/>
        </w:rPr>
        <w:t xml:space="preserve"> </w:t>
      </w:r>
      <w:r>
        <w:rPr>
          <w:sz w:val="24"/>
          <w:u w:val="none"/>
          <w:rFonts w:ascii="Times New Roman" w:hAnsi="Times New Roman"/>
        </w:rPr>
        <w:t xml:space="preserve">arba iii) susigrąžinimas yra nebaigtas (naudojami nuostolių įverčiai).</w:t>
      </w:r>
      <w:r>
        <w:rPr>
          <w:sz w:val="24"/>
          <w:u w:val="none"/>
          <w:rFonts w:ascii="Times New Roman" w:hAnsi="Times New Roman"/>
        </w:rPr>
        <w:t xml:space="preserve"> </w:t>
      </w:r>
      <w:r>
        <w:rPr>
          <w:sz w:val="24"/>
          <w:u w:val="none"/>
          <w:rFonts w:ascii="Times New Roman" w:hAnsi="Times New Roman"/>
        </w:rPr>
        <w:t xml:space="preserve">Į nuostolių ataskaitą įtraukiami tik tie nuostoliai, kurie atsiranda pagal ii scenarijų (užtikrinimo priemonė realizuojama, nustatomi nuostoliai) ir iii scenarijų (susigrąžinimas nebaigtas, naudojami nuostolių įverčiai).</w:t>
      </w:r>
    </w:p>
    <w:p w14:paraId="5F725F4A" w14:textId="7B7604AC" w:rsidR="008D7ACC" w:rsidRPr="008A4E00" w:rsidRDefault="001E7A23" w:rsidP="001E7A23">
      <w:pPr>
        <w:pStyle w:val="InstructionsText2"/>
        <w:numPr>
          <w:ilvl w:val="0"/>
          <w:numId w:val="0"/>
        </w:numPr>
        <w:tabs>
          <w:tab w:val="left" w:pos="720"/>
        </w:tabs>
        <w:ind w:left="720" w:hanging="360"/>
        <w:rPr>
          <w:bCs/>
          <w:sz w:val="24"/>
          <w:szCs w:val="24"/>
          <w:u w:val="none"/>
          <w:rFonts w:ascii="Times New Roman" w:hAnsi="Times New Roman"/>
        </w:rPr>
      </w:pPr>
      <w:r>
        <w:rPr>
          <w:sz w:val="24"/>
          <w:u w:val="none"/>
          <w:rFonts w:ascii="Times New Roman" w:hAnsi="Times New Roman"/>
        </w:rPr>
        <w:t xml:space="preserve">c)</w:t>
      </w:r>
      <w:r>
        <w:rPr>
          <w:sz w:val="24"/>
          <w:u w:val="none"/>
          <w:rFonts w:ascii="Times New Roman" w:hAnsi="Times New Roman"/>
        </w:rPr>
        <w:tab/>
      </w:r>
      <w:r>
        <w:rPr>
          <w:sz w:val="24"/>
          <w:u w:val="none"/>
          <w:rFonts w:ascii="Times New Roman" w:hAnsi="Times New Roman"/>
        </w:rPr>
        <w:t xml:space="preserve">Nurodomi tik per ataskaitinį laikotarpį neįvykdytų pozicijų nuostoliai, todėl teikiami duomenys neparodys per ankstesnius ataskaitinius laikotarpius neįvykdytų pozicijų nuostolių pokyčių, t. y. įplaukos iš užtikrinimo priemonės realizavimo vėlesniu ataskaitiniu laikotarpiu arba mažesnės, nei anksčiau numatyta, realizuotos išlaidos nenurodomos.</w:t>
      </w:r>
    </w:p>
    <w:p w14:paraId="41BE913E" w14:textId="23CFCE93" w:rsidR="000471B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u w:val="none"/>
          <w:sz w:val="24"/>
          <w:rFonts w:ascii="Times New Roman" w:hAnsi="Times New Roman"/>
        </w:rPr>
        <w:t xml:space="preserve">14.</w:t>
      </w:r>
      <w:r>
        <w:rPr>
          <w:u w:val="none"/>
          <w:sz w:val="24"/>
          <w:rFonts w:ascii="Times New Roman" w:hAnsi="Times New Roman"/>
        </w:rPr>
        <w:tab/>
      </w:r>
      <w:r>
        <w:rPr>
          <w:u w:val="none"/>
          <w:sz w:val="24"/>
          <w:rFonts w:ascii="Times New Roman" w:hAnsi="Times New Roman"/>
        </w:rPr>
        <w:t xml:space="preserve">Turto vertinimo vaidmuo.</w:t>
      </w:r>
      <w:r>
        <w:rPr>
          <w:u w:val="none"/>
          <w:sz w:val="24"/>
          <w:rFonts w:ascii="Times New Roman" w:hAnsi="Times New Roman"/>
        </w:rPr>
        <w:t xml:space="preserve"> </w:t>
      </w:r>
      <w:r>
        <w:rPr>
          <w:u w:val="none"/>
          <w:sz w:val="24"/>
          <w:rFonts w:ascii="Times New Roman" w:hAnsi="Times New Roman"/>
        </w:rPr>
        <w:t xml:space="preserve">Teikiant informaciją apie nekilnojamojo turto hipoteka užtikrintą pozicijos dalį reikalingas vėliausias turto vertinimas iki pozicijos neįvykdymo dienos.</w:t>
      </w:r>
      <w:r>
        <w:rPr>
          <w:u w:val="none"/>
          <w:sz w:val="24"/>
          <w:rFonts w:ascii="Times New Roman" w:hAnsi="Times New Roman"/>
        </w:rPr>
        <w:t xml:space="preserve"> </w:t>
      </w:r>
      <w:r>
        <w:rPr>
          <w:u w:val="none"/>
          <w:sz w:val="24"/>
          <w:rFonts w:ascii="Times New Roman" w:hAnsi="Times New Roman"/>
        </w:rPr>
        <w:t xml:space="preserve">Po įsipareigojimų neįvykdymo turtas gali būti pakartotinai vertinamas.</w:t>
      </w:r>
      <w:r>
        <w:rPr>
          <w:u w:val="none"/>
          <w:sz w:val="24"/>
          <w:rFonts w:ascii="Times New Roman" w:hAnsi="Times New Roman"/>
        </w:rPr>
        <w:t xml:space="preserve"> </w:t>
      </w:r>
      <w:r>
        <w:rPr>
          <w:u w:val="none"/>
          <w:sz w:val="24"/>
          <w:rFonts w:ascii="Times New Roman" w:hAnsi="Times New Roman"/>
        </w:rPr>
        <w:t xml:space="preserve">Vis dėlto į naująją vertę neatsižvelgiama nustatant tą pozicijos dalį, kuri iš pradžių buvo užtikrinta iki pozicijos vertės dalies, kuri užtikrinta neviršijant mažesnės iš šių verčių – įkeistos sumos ir 55 % turto vertės, nebent pagal Reglamento (ES) Nr. 575/2013 124 straipsnio 9 dalį nuspręsta kitaip.</w:t>
      </w:r>
      <w:r>
        <w:rPr>
          <w:u w:val="none"/>
          <w:sz w:val="24"/>
          <w:rFonts w:ascii="Times New Roman" w:hAnsi="Times New Roman"/>
        </w:rPr>
        <w:t xml:space="preserve"> </w:t>
      </w:r>
      <w:r>
        <w:rPr>
          <w:u w:val="none"/>
          <w:sz w:val="24"/>
          <w:rFonts w:ascii="Times New Roman" w:hAnsi="Times New Roman"/>
        </w:rPr>
        <w:t xml:space="preserve">Tačiau į naująją turto vertę atsižvelgiama teikiant informaciją apie ekonominius nuostolius (sumažėjusi turto vertė yra ekonominių sąnaudų dalis).</w:t>
      </w:r>
      <w:r>
        <w:rPr>
          <w:u w:val="none"/>
          <w:sz w:val="24"/>
          <w:rFonts w:ascii="Times New Roman" w:hAnsi="Times New Roman"/>
        </w:rPr>
        <w:t xml:space="preserve"> </w:t>
      </w:r>
      <w:r>
        <w:rPr>
          <w:u w:val="none"/>
          <w:sz w:val="24"/>
          <w:rFonts w:ascii="Times New Roman" w:hAnsi="Times New Roman"/>
        </w:rPr>
        <w:t xml:space="preserve">Kitaip tariant, vėliausias turto vertinimas iki įsipareigojimų neįvykdymo dienos naudojamas nustatant, kuri nuostolio dalis turi būti nurodoma 0010 skiltyje, o pakartotinai įvertinto turto vertė naudojama nustatant sumą, kuri turi būti nurodoma (įvertinant galimą susigrąžinimą, susijusį su užtikrinimo priemone) 0010 ir 0030 skiltyse.</w:t>
      </w:r>
    </w:p>
    <w:p w14:paraId="46D6DEED" w14:textId="77777777" w:rsidR="000471B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15.</w:t>
      </w:r>
      <w:r>
        <w:rPr>
          <w:sz w:val="24"/>
          <w:u w:val="none"/>
          <w:rFonts w:ascii="Times New Roman" w:hAnsi="Times New Roman"/>
        </w:rPr>
        <w:tab/>
      </w:r>
      <w:r>
        <w:rPr>
          <w:sz w:val="24"/>
          <w:u w:val="none"/>
          <w:rFonts w:ascii="Times New Roman" w:hAnsi="Times New Roman"/>
        </w:rPr>
        <w:t xml:space="preserve">Per ataskaitinį laikotarpį parduotų paskolų vertinimas.</w:t>
      </w:r>
      <w:r>
        <w:rPr>
          <w:sz w:val="24"/>
          <w:u w:val="none"/>
          <w:rFonts w:ascii="Times New Roman" w:hAnsi="Times New Roman"/>
        </w:rPr>
        <w:t xml:space="preserve"> </w:t>
      </w:r>
      <w:r>
        <w:rPr>
          <w:sz w:val="24"/>
          <w:u w:val="none"/>
          <w:rFonts w:ascii="Times New Roman" w:hAnsi="Times New Roman"/>
        </w:rPr>
        <w:t xml:space="preserve">Ataskaitinio laikotarpio pabaigoje poziciją turinti įstaiga pateikia informaciją apie nuostolius, bet tik tuo atveju, jei buvo nustatyta, kad įsipareigojimai pagal tą poziciją neįvykdyti.</w:t>
      </w:r>
    </w:p>
    <w:p w14:paraId="3C32F70D" w14:textId="77777777" w:rsidR="00713F52" w:rsidRPr="008A4E00" w:rsidRDefault="001E7A23" w:rsidP="001E7A23">
      <w:pPr>
        <w:pStyle w:val="Instructionsberschrift2"/>
        <w:numPr>
          <w:ilvl w:val="0"/>
          <w:numId w:val="0"/>
        </w:numPr>
        <w:ind w:left="360" w:hanging="360"/>
        <w:rPr>
          <w:sz w:val="24"/>
          <w:rFonts w:ascii="Times New Roman" w:hAnsi="Times New Roman" w:cs="Times New Roman"/>
        </w:rPr>
      </w:pPr>
      <w:bookmarkStart w:id="2" w:name="_Toc310008820"/>
      <w:r>
        <w:rPr>
          <w:sz w:val="24"/>
          <w:u w:val="none"/>
          <w:rFonts w:ascii="Times New Roman" w:hAnsi="Times New Roman"/>
        </w:rPr>
        <w:t xml:space="preserve">5.</w:t>
      </w:r>
      <w:r>
        <w:rPr>
          <w:sz w:val="24"/>
          <w:u w:val="none"/>
          <w:rFonts w:ascii="Times New Roman" w:hAnsi="Times New Roman"/>
        </w:rPr>
        <w:tab/>
      </w:r>
      <w:r>
        <w:rPr>
          <w:sz w:val="24"/>
          <w:rFonts w:ascii="Times New Roman" w:hAnsi="Times New Roman"/>
        </w:rPr>
        <w:t xml:space="preserve">Nurodymai dėl konkrečių pozicijų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b/>
                <w:sz w:val="24"/>
                <w:rFonts w:ascii="Times New Roman" w:hAnsi="Times New Roman"/>
              </w:rPr>
            </w:pPr>
            <w:r>
              <w:rPr>
                <w:b/>
                <w:sz w:val="24"/>
                <w:rFonts w:ascii="Times New Roman" w:hAnsi="Times New Roman"/>
              </w:rPr>
              <w:t xml:space="preserve">Skiltys</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4E7F622B" w14:textId="77777777" w:rsidR="000471B0" w:rsidRPr="008A4E00" w:rsidRDefault="00713F52"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Nuostolių dėl skolinimo iki orientacinės procentinės dalies suma</w:t>
            </w:r>
          </w:p>
          <w:p w14:paraId="07E5E64A" w14:textId="2F881E1B" w:rsidR="000471B0" w:rsidRPr="008A4E00" w:rsidRDefault="00B9443C" w:rsidP="00A6020A">
            <w:pPr>
              <w:spacing w:beforeLines="60" w:before="144" w:afterLines="60" w:after="144"/>
              <w:rPr>
                <w:rStyle w:val="InstructionsTabelleText"/>
                <w:sz w:val="24"/>
                <w:rFonts w:ascii="Times New Roman" w:hAnsi="Times New Roman"/>
              </w:rPr>
            </w:pPr>
            <w:r>
              <w:rPr>
                <w:sz w:val="24"/>
                <w:rFonts w:ascii="Times New Roman" w:hAnsi="Times New Roman"/>
              </w:rPr>
              <w:t xml:space="preserve">Reglamento (ES) Nr. 575/2013 430a straipsnio 1 dalies atitinkamai a ir d punktai.</w:t>
            </w:r>
            <w:r>
              <w:rPr>
                <w:sz w:val="24"/>
                <w:rStyle w:val="InstructionsTabelleText"/>
                <w:rFonts w:ascii="Times New Roman" w:hAnsi="Times New Roman"/>
              </w:rPr>
              <w:t xml:space="preserve"> </w:t>
            </w:r>
          </w:p>
          <w:p w14:paraId="19C0501E" w14:textId="00748038" w:rsidR="000471B0" w:rsidRPr="008A4E00" w:rsidRDefault="00A30A3F" w:rsidP="00A6020A">
            <w:pPr>
              <w:spacing w:beforeLines="60" w:before="144" w:afterLines="60" w:after="144"/>
              <w:rPr>
                <w:rStyle w:val="InstructionsTabelleText"/>
                <w:sz w:val="24"/>
                <w:rFonts w:ascii="Times New Roman" w:hAnsi="Times New Roman"/>
              </w:rPr>
            </w:pPr>
            <w:r>
              <w:rPr>
                <w:sz w:val="24"/>
                <w:rFonts w:ascii="Times New Roman" w:hAnsi="Times New Roman"/>
              </w:rPr>
              <w:t xml:space="preserve">Turto vertė pagal Reglamento (ES) Nr. 575/2013 </w:t>
            </w:r>
            <w:r>
              <w:rPr>
                <w:sz w:val="24"/>
                <w:rStyle w:val="InstructionsTabelleText"/>
                <w:rFonts w:ascii="Times New Roman" w:hAnsi="Times New Roman"/>
              </w:rPr>
              <w:t xml:space="preserve">4 straipsnio 1 dalies 74a punktą</w:t>
            </w:r>
            <w:r>
              <w:rPr>
                <w:sz w:val="24"/>
                <w:rFonts w:ascii="Times New Roman" w:hAnsi="Times New Roman"/>
              </w:rPr>
              <w:t xml:space="preserve">.</w:t>
            </w:r>
          </w:p>
          <w:p w14:paraId="01CE6153" w14:textId="48C64144" w:rsidR="000471B0" w:rsidRPr="00F67747" w:rsidRDefault="00D87924" w:rsidP="00C60BE1">
            <w:pPr>
              <w:spacing w:beforeLines="60" w:before="144" w:afterLines="60" w:after="144"/>
              <w:rPr>
                <w:sz w:val="24"/>
                <w:rFonts w:ascii="Times New Roman" w:hAnsi="Times New Roman"/>
              </w:rPr>
            </w:pPr>
            <w:r>
              <w:rPr>
                <w:sz w:val="24"/>
                <w:rFonts w:ascii="Times New Roman" w:hAnsi="Times New Roman"/>
              </w:rPr>
              <w:t xml:space="preserve">Šioje skiltyje nurodomi nuostoliai, atsirandantys dėl pozicijų, kurių užtikrinimo priemone įstaiga yra pripažinusi gyvenamosios ar komercinės paskirties turtą, kiekvienu atveju iki pozicijos vertės dalies, kuri užtikrinta neviršijant mažesnės iš šių verčių – įkeistos sumos ir 55 % turto vertės, nebent pagal 124 straipsnio 9 dalį atitinkamais atvejais nenuspręsta kitaip.</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0030</w:t>
            </w:r>
          </w:p>
        </w:tc>
        <w:tc>
          <w:tcPr>
            <w:tcW w:w="8004" w:type="dxa"/>
          </w:tcPr>
          <w:p w14:paraId="41837ECE" w14:textId="77777777" w:rsidR="000471B0" w:rsidRPr="008A4E00" w:rsidRDefault="00713F52"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Visų nuostolių suma</w:t>
            </w:r>
          </w:p>
          <w:p w14:paraId="7CD90D4F" w14:textId="4EFAFAF3" w:rsidR="000471B0" w:rsidRPr="008A4E00" w:rsidRDefault="00B9443C" w:rsidP="00A6020A">
            <w:pPr>
              <w:spacing w:beforeLines="60" w:before="144" w:afterLines="60" w:after="144"/>
              <w:rPr>
                <w:rStyle w:val="InstructionsTabelleText"/>
                <w:sz w:val="24"/>
                <w:rFonts w:ascii="Times New Roman" w:hAnsi="Times New Roman"/>
              </w:rPr>
            </w:pPr>
            <w:r>
              <w:rPr>
                <w:sz w:val="24"/>
                <w:rFonts w:ascii="Times New Roman" w:hAnsi="Times New Roman"/>
              </w:rPr>
              <w:t xml:space="preserve">Reglamento (ES) Nr. 575/2013 430a straipsnio 1 dalies atitinkamai b ir e punktai.</w:t>
            </w:r>
            <w:r>
              <w:rPr>
                <w:sz w:val="24"/>
                <w:rStyle w:val="InstructionsTabelleText"/>
                <w:rFonts w:ascii="Times New Roman" w:hAnsi="Times New Roman"/>
              </w:rPr>
              <w:t xml:space="preserve"> </w:t>
            </w:r>
            <w:r>
              <w:rPr>
                <w:sz w:val="24"/>
                <w:rFonts w:ascii="Times New Roman" w:hAnsi="Times New Roman"/>
              </w:rPr>
              <w:t xml:space="preserve">Turto vertė pagal Reglamento (ES) Nr. 575/2013 </w:t>
            </w:r>
            <w:r>
              <w:rPr>
                <w:sz w:val="24"/>
                <w:rStyle w:val="InstructionsTabelleText"/>
                <w:rFonts w:ascii="Times New Roman" w:hAnsi="Times New Roman"/>
              </w:rPr>
              <w:t xml:space="preserve">4 straipsnio 1 dalies 74a punktą</w:t>
            </w:r>
            <w:r>
              <w:rPr>
                <w:sz w:val="24"/>
                <w:rFonts w:ascii="Times New Roman" w:hAnsi="Times New Roman"/>
              </w:rPr>
              <w:t xml:space="preserve">.</w:t>
            </w:r>
          </w:p>
          <w:p w14:paraId="2DE09B4B" w14:textId="2B3BA46D" w:rsidR="004E748D" w:rsidRPr="00F402D0" w:rsidRDefault="00713F52" w:rsidP="00C60BE1">
            <w:pPr>
              <w:spacing w:beforeLines="60" w:before="144" w:afterLines="60" w:after="144"/>
              <w:rPr>
                <w:sz w:val="24"/>
                <w:rFonts w:ascii="Times New Roman" w:hAnsi="Times New Roman"/>
              </w:rPr>
            </w:pPr>
            <w:r>
              <w:rPr>
                <w:rStyle w:val="InstructionsTabelleText"/>
                <w:sz w:val="24"/>
                <w:rFonts w:ascii="Times New Roman" w:hAnsi="Times New Roman"/>
              </w:rPr>
              <w:t xml:space="preserve">Šioje skiltyje nurodomi nuostoliai, atsirandantys dėl pozicijų, kurių užtikrinimo priemone įstaiga yra pripažinusi gyvenamosios ar komercinės paskirties turtą, kiekvienu atveju iki pozicijos vertės dalies, kuri užtikrinta neviršijant mažesnės iš šių verčių – įkeistos sumos ir 100 % turto vertės.</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0050</w:t>
            </w:r>
          </w:p>
        </w:tc>
        <w:tc>
          <w:tcPr>
            <w:tcW w:w="8004" w:type="dxa"/>
          </w:tcPr>
          <w:p w14:paraId="5A3D4AC9" w14:textId="77777777" w:rsidR="000471B0" w:rsidRPr="008A4E00" w:rsidRDefault="00713F52"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Pozicijų suma</w:t>
            </w:r>
          </w:p>
          <w:p w14:paraId="7C6ADC5B" w14:textId="3D42E377" w:rsidR="000471B0" w:rsidRPr="008A4E00" w:rsidRDefault="00B9443C" w:rsidP="00A6020A">
            <w:pPr>
              <w:spacing w:beforeLines="60" w:before="144" w:afterLines="60" w:after="144"/>
              <w:rPr>
                <w:rStyle w:val="InstructionsTabelleText"/>
                <w:sz w:val="24"/>
                <w:rFonts w:ascii="Times New Roman" w:hAnsi="Times New Roman"/>
              </w:rPr>
            </w:pPr>
            <w:r>
              <w:rPr>
                <w:sz w:val="24"/>
                <w:rFonts w:ascii="Times New Roman" w:hAnsi="Times New Roman"/>
              </w:rPr>
              <w:t xml:space="preserve">Reglamento (ES) Nr. 575/2013 430a straipsnio 1 dalies c ir f punktai.</w:t>
            </w:r>
          </w:p>
          <w:p w14:paraId="59F027DB" w14:textId="5CBC3927" w:rsidR="00206DF5" w:rsidRDefault="00DC5657" w:rsidP="00A6020A">
            <w:pPr>
              <w:spacing w:beforeLines="60" w:before="144" w:afterLines="60" w:after="144"/>
              <w:jc w:val="lef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Pozicijų, kurių užtikrinimo priemone bankas yra pripažinęs gyvenamosios ar komercinės paskirties turtą, kiekvienu atveju iki pozicijos vertės dalies, kuri užtikrinta neviršijant mažesnės iš šių verčių – įkeistos sumos ir 100 % turto vertės, pozicijos vertė.</w:t>
            </w:r>
          </w:p>
          <w:p w14:paraId="1CF31593" w14:textId="7B1602CE" w:rsidR="00A122F8" w:rsidRPr="008A4E00" w:rsidRDefault="00A122F8" w:rsidP="000D2664">
            <w:pPr>
              <w:spacing w:beforeLines="60" w:before="144" w:afterLines="60" w:after="144"/>
              <w:jc w:val="lef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Įsipareigojimų neįvykdymo atveju per ataskaitinį laikotarpį neįvykdytų pozicijų atžvilgiu nurodoma pozicijos vertė prieš pat įsipareigojimų neįvykdymą, o per ankstesnius laikotarpius neįvykdytų pozicijų atžvilgiu nurodoma pozicijos vertė yra ataskaitinės datos pozicijos vertė.</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b/>
                <w:sz w:val="24"/>
                <w:rFonts w:ascii="Times New Roman" w:hAnsi="Times New Roman"/>
              </w:rPr>
            </w:pPr>
            <w:r>
              <w:rPr>
                <w:b/>
                <w:sz w:val="24"/>
                <w:rFonts w:ascii="Times New Roman" w:hAnsi="Times New Roman"/>
              </w:rPr>
              <w:t xml:space="preserve">Eilutės</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6DCF7D0C" w14:textId="77777777" w:rsidR="000471B0" w:rsidRDefault="00F76469" w:rsidP="00F7646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Gyvenamosios paskirties nekilnojamasis turtas</w:t>
            </w:r>
            <w:r>
              <w:rPr>
                <w:rStyle w:val="InstructionsTabelleberschrift"/>
                <w:sz w:val="24"/>
                <w:rFonts w:ascii="Times New Roman" w:hAnsi="Times New Roman"/>
              </w:rPr>
              <w:t xml:space="preserve"> </w:t>
            </w:r>
          </w:p>
          <w:p w14:paraId="4BFD2574" w14:textId="2863C850" w:rsidR="00835C71" w:rsidRPr="008A4E00" w:rsidRDefault="00835C71" w:rsidP="00F76469">
            <w:pPr>
              <w:spacing w:beforeLines="60" w:before="144" w:afterLines="60" w:after="144"/>
              <w:rPr>
                <w:rStyle w:val="InstructionsTabelleberschrift"/>
                <w:b w:val="0"/>
                <w:sz w:val="24"/>
                <w:rFonts w:ascii="Times New Roman" w:hAnsi="Times New Roman"/>
              </w:rPr>
            </w:pPr>
            <w:r>
              <w:rPr>
                <w:sz w:val="24"/>
                <w:rStyle w:val="InstructionsTabelleberschrift"/>
                <w:b w:val="0"/>
                <w:rFonts w:ascii="Times New Roman" w:hAnsi="Times New Roman"/>
              </w:rPr>
              <w:t xml:space="preserve">Gyvenamosios paskirties nekilnojamasis turtas</w:t>
            </w:r>
            <w:r>
              <w:rPr>
                <w:sz w:val="24"/>
                <w:rFonts w:ascii="Times New Roman" w:hAnsi="Times New Roman"/>
              </w:rPr>
              <w:t xml:space="preserve">, kaip apibrėžta Reglamento (ES) Nr. 575/2013 4 straipsnio 1 dalies 75 punkte</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0020</w:t>
            </w:r>
            <w:r>
              <w:rPr>
                <w:sz w:val="24"/>
                <w:rFonts w:ascii="Times New Roman" w:hAnsi="Times New Roman"/>
              </w:rPr>
              <w:t xml:space="preserve"> </w:t>
            </w:r>
          </w:p>
        </w:tc>
        <w:tc>
          <w:tcPr>
            <w:tcW w:w="8004" w:type="dxa"/>
          </w:tcPr>
          <w:p w14:paraId="7BAFC089" w14:textId="77777777" w:rsidR="00A50938" w:rsidRDefault="00F76469"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Komercinės paskirties nekilnojamasis turtas</w:t>
            </w:r>
          </w:p>
          <w:p w14:paraId="44906BD1" w14:textId="55C01692" w:rsidR="000471B0" w:rsidRPr="008A4E00" w:rsidRDefault="00F76469" w:rsidP="00A6020A">
            <w:pPr>
              <w:spacing w:beforeLines="60" w:before="144" w:afterLines="60" w:after="144"/>
              <w:rPr>
                <w:rStyle w:val="InstructionsTabelleberschrift"/>
                <w:sz w:val="24"/>
                <w:rFonts w:ascii="Times New Roman" w:hAnsi="Times New Roman"/>
              </w:rPr>
            </w:pPr>
            <w:r>
              <w:rPr>
                <w:sz w:val="24"/>
                <w:rStyle w:val="InstructionsTabelleberschrift"/>
                <w:rFonts w:ascii="Times New Roman" w:hAnsi="Times New Roman"/>
              </w:rPr>
              <w:t xml:space="preserve"> </w:t>
            </w:r>
            <w:r>
              <w:rPr>
                <w:sz w:val="24"/>
                <w:rStyle w:val="InstructionsTabelleberschrift"/>
                <w:b w:val="0"/>
                <w:rFonts w:ascii="Times New Roman" w:hAnsi="Times New Roman"/>
              </w:rPr>
              <w:t xml:space="preserve">Komercinės paskirties nekilnojamasis turtas</w:t>
            </w:r>
            <w:r>
              <w:rPr>
                <w:sz w:val="24"/>
                <w:rFonts w:ascii="Times New Roman" w:hAnsi="Times New Roman"/>
              </w:rPr>
              <w:t xml:space="preserve">, kaip apibrėžta Reglamento (ES) Nr. 575/2013 4 straipsnio 1 dalies 75a punkte</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82589" w14:textId="77777777" w:rsidR="00640FF8" w:rsidRDefault="00640FF8" w:rsidP="00D946DB">
      <w:pPr>
        <w:spacing w:before="0" w:after="0"/>
      </w:pPr>
      <w:r>
        <w:separator/>
      </w:r>
    </w:p>
  </w:endnote>
  <w:endnote w:type="continuationSeparator" w:id="0">
    <w:p w14:paraId="233F7309" w14:textId="77777777" w:rsidR="00640FF8" w:rsidRDefault="00640FF8" w:rsidP="00D946DB">
      <w:pPr>
        <w:spacing w:before="0" w:after="0"/>
      </w:pPr>
      <w:r>
        <w:continuationSeparator/>
      </w:r>
    </w:p>
  </w:endnote>
  <w:endnote w:type="continuationNotice" w:id="1">
    <w:p w14:paraId="5839C73F" w14:textId="77777777" w:rsidR="00640FF8" w:rsidRDefault="00640F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98FD0" w14:textId="77777777"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845FA" w14:textId="62FC12DF" w:rsidR="00422064" w:rsidRDefault="005D254B">
    <w:pPr>
      <w:pStyle w:val="Footer"/>
      <w:tabs>
        <w:tab w:val="left" w:pos="8640"/>
      </w:tabs>
      <w:ind w:right="6"/>
      <w:jc w:val="right"/>
    </w:pPr>
    <w:r>
      <w:rPr>
        <w:rStyle w:val="PageNumber"/>
        <w:rFonts w:cs="Verdana"/>
      </w:rPr>
      <w:fldChar w:fldCharType="begin"/>
    </w:r>
    <w:r w:rsidR="00422064">
      <w:rPr>
        <w:rStyle w:val="PageNumber"/>
        <w:rFonts w:cs="Verdana"/>
      </w:rPr>
      <w:instrText xml:space="preserve">PAGE  </w:instrText>
    </w:r>
    <w:r>
      <w:rPr>
        <w:rStyle w:val="PageNumber"/>
        <w:rFonts w:cs="Verdana"/>
      </w:rPr>
      <w:fldChar w:fldCharType="separate"/>
    </w:r>
    <w:r w:rsidR="00FF5C6D">
      <w:rPr>
        <w:rStyle w:val="PageNumber"/>
        <w:rFonts w:cs="Verdana"/>
      </w:rPr>
      <w:t>5</w:t>
    </w:r>
    <w:r>
      <w:rPr>
        <w:rStyle w:val="PageNumber"/>
        <w:rFonts w:cs="Verdan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rsidR="00AF3AC6">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CDC588" w14:textId="77777777" w:rsidR="00640FF8" w:rsidRDefault="00640FF8" w:rsidP="00D946DB">
      <w:pPr>
        <w:spacing w:before="0" w:after="0"/>
      </w:pPr>
      <w:r>
        <w:separator/>
      </w:r>
    </w:p>
  </w:footnote>
  <w:footnote w:type="continuationSeparator" w:id="0">
    <w:p w14:paraId="4D79FF37" w14:textId="77777777" w:rsidR="00640FF8" w:rsidRDefault="00640FF8" w:rsidP="00D946DB">
      <w:pPr>
        <w:spacing w:before="0" w:after="0"/>
      </w:pPr>
      <w:r>
        <w:continuationSeparator/>
      </w:r>
    </w:p>
  </w:footnote>
  <w:footnote w:type="continuationNotice" w:id="1">
    <w:p w14:paraId="399F63B9" w14:textId="77777777" w:rsidR="00640FF8" w:rsidRDefault="00640F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4EAA8" w14:textId="062CB9A6" w:rsidR="00D25D7E" w:rsidRDefault="00AE7099">
    <w:pPr>
      <w:pStyle w:val="Header"/>
    </w:pPr>
    <w: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36E7D23F"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DABB71"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36E7D23F"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6862A" w14:textId="201CB573" w:rsidR="00A6020A" w:rsidRDefault="00AE7099" w:rsidP="00E577B1">
    <w:pPr>
      <w:pStyle w:val="Header"/>
      <w:jc w:val="center"/>
    </w:pPr>
    <w: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4DFC2B24"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869C610"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4DFC2B24"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r>
      <w:t xml:space="preserve">LT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AD72C" w14:textId="7DBF2B83" w:rsidR="00D25D7E" w:rsidRDefault="00AE7099">
    <w:pPr>
      <w:pStyle w:val="Header"/>
    </w:pPr>
    <w: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64A70D7B"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F548E3"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64A70D7B"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BC489BA8"/>
    <w:lvl w:ilvl="0" w:tplc="0809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20A6B"/>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C57E4"/>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102A42"/>
    <w:rsid w:val="00111EB1"/>
    <w:rsid w:val="001152F0"/>
    <w:rsid w:val="001156CB"/>
    <w:rsid w:val="0012049B"/>
    <w:rsid w:val="00122DF3"/>
    <w:rsid w:val="00124B85"/>
    <w:rsid w:val="00124BAE"/>
    <w:rsid w:val="001273B5"/>
    <w:rsid w:val="00133671"/>
    <w:rsid w:val="00133AC1"/>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7DD0"/>
    <w:rsid w:val="00260BC4"/>
    <w:rsid w:val="00260FD8"/>
    <w:rsid w:val="00261161"/>
    <w:rsid w:val="00262C1B"/>
    <w:rsid w:val="00264FBF"/>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16A1"/>
    <w:rsid w:val="00363FCE"/>
    <w:rsid w:val="00365FA3"/>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C46D2"/>
    <w:rsid w:val="004D10E3"/>
    <w:rsid w:val="004E04BF"/>
    <w:rsid w:val="004E6287"/>
    <w:rsid w:val="004E748D"/>
    <w:rsid w:val="004F5080"/>
    <w:rsid w:val="00502390"/>
    <w:rsid w:val="00502665"/>
    <w:rsid w:val="00502FC6"/>
    <w:rsid w:val="00503445"/>
    <w:rsid w:val="0050399F"/>
    <w:rsid w:val="005040F5"/>
    <w:rsid w:val="005067A1"/>
    <w:rsid w:val="00511DAB"/>
    <w:rsid w:val="005135D6"/>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D1D"/>
    <w:rsid w:val="005B1F21"/>
    <w:rsid w:val="005B45AF"/>
    <w:rsid w:val="005B4769"/>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CBA"/>
    <w:rsid w:val="00650DB8"/>
    <w:rsid w:val="00651C18"/>
    <w:rsid w:val="00652DF7"/>
    <w:rsid w:val="00652F11"/>
    <w:rsid w:val="00654440"/>
    <w:rsid w:val="00657F38"/>
    <w:rsid w:val="0066173C"/>
    <w:rsid w:val="00663E49"/>
    <w:rsid w:val="00670A5E"/>
    <w:rsid w:val="00673F9D"/>
    <w:rsid w:val="006746DB"/>
    <w:rsid w:val="006771CE"/>
    <w:rsid w:val="006778A2"/>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1D51"/>
    <w:rsid w:val="008F37D9"/>
    <w:rsid w:val="00900C1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B6A46"/>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207F"/>
    <w:rsid w:val="00A122F8"/>
    <w:rsid w:val="00A1288A"/>
    <w:rsid w:val="00A136CD"/>
    <w:rsid w:val="00A16DDA"/>
    <w:rsid w:val="00A20C02"/>
    <w:rsid w:val="00A22F1F"/>
    <w:rsid w:val="00A24751"/>
    <w:rsid w:val="00A253E6"/>
    <w:rsid w:val="00A25B20"/>
    <w:rsid w:val="00A27C72"/>
    <w:rsid w:val="00A30A3F"/>
    <w:rsid w:val="00A320B1"/>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5CE0"/>
    <w:rsid w:val="00A87F6C"/>
    <w:rsid w:val="00A90BDF"/>
    <w:rsid w:val="00A91E90"/>
    <w:rsid w:val="00A95DED"/>
    <w:rsid w:val="00AA2CD4"/>
    <w:rsid w:val="00AA38AA"/>
    <w:rsid w:val="00AB0383"/>
    <w:rsid w:val="00AB2F46"/>
    <w:rsid w:val="00AB3FB6"/>
    <w:rsid w:val="00AB4E51"/>
    <w:rsid w:val="00AC13D0"/>
    <w:rsid w:val="00AC14E2"/>
    <w:rsid w:val="00AC4B8E"/>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E1F"/>
    <w:rsid w:val="00BF3F28"/>
    <w:rsid w:val="00BF7593"/>
    <w:rsid w:val="00C01554"/>
    <w:rsid w:val="00C029A7"/>
    <w:rsid w:val="00C029BC"/>
    <w:rsid w:val="00C04AB6"/>
    <w:rsid w:val="00C04D37"/>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23BE"/>
    <w:rsid w:val="00D52DB5"/>
    <w:rsid w:val="00D52FEA"/>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1249"/>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lt-LT"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lt-LT"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lt-LT"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lt-LT"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lt-LT"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lt-LT"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lt-LT"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lt-L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lt-LT"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lt-LT"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lt-LT"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lt-LT"/>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lt-LT"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lt-LT"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lt-LT"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lt-LT"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lt-LT"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lt-LT"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lt-LT"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lt-LT"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lt-LT"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lt-LT"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lt-L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lt-LT" w:eastAsia="de-DE"/>
    </w:rPr>
  </w:style>
  <w:style w:type="paragraph" w:styleId="Revision">
    <w:name w:val="Revision"/>
    <w:hidden/>
    <w:uiPriority w:val="99"/>
    <w:semiHidden/>
    <w:rsid w:val="00884FEB"/>
    <w:rPr>
      <w:rFonts w:ascii="Verdana" w:eastAsia="Times New Roman" w:hAnsi="Verdana"/>
      <w:szCs w:val="24"/>
      <w:lang w:val="lt-LT"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lt-L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lt-LT"/>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lt-LT"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lt-LT"/>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lt-LT"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845127890">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customXml/itemProps2.xml><?xml version="1.0" encoding="utf-8"?>
<ds:datastoreItem xmlns:ds="http://schemas.openxmlformats.org/officeDocument/2006/customXml" ds:itemID="{9A42F242-5175-476B-9BAF-C8C8C52C256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32E37A1B-FFA2-4C39-87F5-F668BE76E686}">
  <ds:schemaRefs>
    <ds:schemaRef ds:uri="http://schemas.microsoft.com/sharepoint/v3/contenttype/forms"/>
  </ds:schemaRefs>
</ds:datastoreItem>
</file>

<file path=customXml/itemProps4.xml><?xml version="1.0" encoding="utf-8"?>
<ds:datastoreItem xmlns:ds="http://schemas.openxmlformats.org/officeDocument/2006/customXml" ds:itemID="{E69A740B-0AAB-42E1-A30F-CF3371445EF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1554</Words>
  <Characters>8864</Characters>
  <Application>Microsoft Office Word</Application>
  <DocSecurity>0</DocSecurity>
  <Lines>73</Lines>
  <Paragraphs>20</Paragraphs>
  <ScaleCrop>false</ScaleCrop>
  <Company/>
  <LinksUpToDate>false</LinksUpToDate>
  <CharactersWithSpaces>10398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2024-06-19T18:10:00Z</dcterms:created>
  <dcterms:modified xsi:type="dcterms:W3CDTF">2024-06-21T12:22:00Z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